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13C5">
      <w:pPr>
        <w:rPr>
          <w:rFonts w:ascii="Arial" w:hAnsi="Arial" w:cs="Arial"/>
          <w:b/>
          <w:bCs/>
          <w:sz w:val="32"/>
          <w:szCs w:val="32"/>
        </w:rPr>
      </w:pPr>
      <w:bookmarkStart w:id="0" w:name="_GoBack"/>
      <w:bookmarkEnd w:id="0"/>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r>
        <w:rPr>
          <w:rFonts w:ascii="Arial" w:hAnsi="Arial" w:cs="Arial"/>
          <w:b/>
          <w:bCs/>
          <w:sz w:val="40"/>
          <w:szCs w:val="40"/>
        </w:rPr>
        <w:t>Draft Gaelic Language Bill</w:t>
      </w: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r>
        <w:rPr>
          <w:rFonts w:ascii="Arial" w:hAnsi="Arial" w:cs="Arial"/>
          <w:b/>
          <w:bCs/>
          <w:sz w:val="40"/>
          <w:szCs w:val="40"/>
        </w:rPr>
        <w:t>Consultation Analysis</w:t>
      </w: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jc w:val="center"/>
        <w:rPr>
          <w:rFonts w:ascii="Arial" w:hAnsi="Arial" w:cs="Arial"/>
          <w:b/>
          <w:bCs/>
          <w:sz w:val="40"/>
          <w:szCs w:val="40"/>
        </w:rPr>
      </w:pP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r>
        <w:rPr>
          <w:rFonts w:ascii="Arial" w:hAnsi="Arial" w:cs="Arial"/>
          <w:b/>
          <w:bCs/>
          <w:sz w:val="28"/>
          <w:szCs w:val="28"/>
        </w:rPr>
        <w:t>Report to the Scottish Executive and Bòrd na Gàidhlig</w:t>
      </w: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r>
        <w:rPr>
          <w:rFonts w:ascii="Arial" w:hAnsi="Arial" w:cs="Arial"/>
          <w:b/>
          <w:bCs/>
          <w:sz w:val="28"/>
          <w:szCs w:val="28"/>
        </w:rPr>
        <w:t>Richard Johnstone</w:t>
      </w:r>
    </w:p>
    <w:p w:rsidR="00000000" w:rsidRDefault="004B13C5">
      <w:pPr>
        <w:pStyle w:val="Footer"/>
        <w:tabs>
          <w:tab w:val="clear" w:pos="4153"/>
          <w:tab w:val="clear" w:pos="8306"/>
        </w:tabs>
        <w:jc w:val="center"/>
        <w:rPr>
          <w:rFonts w:ascii="Arial" w:hAnsi="Arial" w:cs="Arial"/>
          <w:b/>
          <w:bCs/>
          <w:sz w:val="28"/>
          <w:szCs w:val="28"/>
        </w:rPr>
      </w:pPr>
      <w:r>
        <w:rPr>
          <w:rFonts w:ascii="Arial" w:hAnsi="Arial" w:cs="Arial"/>
          <w:b/>
          <w:bCs/>
          <w:sz w:val="28"/>
          <w:szCs w:val="28"/>
        </w:rPr>
        <w:t>Brian Macdonald</w:t>
      </w:r>
    </w:p>
    <w:p w:rsidR="00000000" w:rsidRDefault="004B13C5">
      <w:pPr>
        <w:pStyle w:val="Footer"/>
        <w:tabs>
          <w:tab w:val="clear" w:pos="4153"/>
          <w:tab w:val="clear" w:pos="8306"/>
        </w:tabs>
        <w:jc w:val="center"/>
        <w:rPr>
          <w:rFonts w:ascii="Arial" w:hAnsi="Arial" w:cs="Arial"/>
          <w:b/>
          <w:bCs/>
          <w:sz w:val="28"/>
          <w:szCs w:val="28"/>
        </w:rPr>
      </w:pPr>
      <w:r>
        <w:rPr>
          <w:rFonts w:ascii="Arial" w:hAnsi="Arial" w:cs="Arial"/>
          <w:b/>
          <w:bCs/>
          <w:sz w:val="28"/>
          <w:szCs w:val="28"/>
        </w:rPr>
        <w:t>Catherine Ann MacNeil</w:t>
      </w:r>
    </w:p>
    <w:p w:rsidR="00000000" w:rsidRDefault="004B13C5">
      <w:pPr>
        <w:pStyle w:val="Footer"/>
        <w:tabs>
          <w:tab w:val="clear" w:pos="4153"/>
          <w:tab w:val="clear" w:pos="8306"/>
        </w:tabs>
        <w:jc w:val="center"/>
        <w:rPr>
          <w:rFonts w:ascii="Arial" w:hAnsi="Arial" w:cs="Arial"/>
          <w:b/>
          <w:bCs/>
          <w:sz w:val="28"/>
          <w:szCs w:val="28"/>
        </w:rPr>
      </w:pPr>
      <w:r>
        <w:rPr>
          <w:rFonts w:ascii="Arial" w:hAnsi="Arial" w:cs="Arial"/>
          <w:b/>
          <w:bCs/>
          <w:sz w:val="28"/>
          <w:szCs w:val="28"/>
        </w:rPr>
        <w:t>Annette Kerr</w:t>
      </w:r>
    </w:p>
    <w:p w:rsidR="00000000" w:rsidRDefault="004B13C5">
      <w:pPr>
        <w:pStyle w:val="Footer"/>
        <w:tabs>
          <w:tab w:val="clear" w:pos="4153"/>
          <w:tab w:val="clear" w:pos="8306"/>
        </w:tabs>
        <w:jc w:val="center"/>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28"/>
          <w:szCs w:val="28"/>
        </w:rPr>
      </w:pPr>
    </w:p>
    <w:p w:rsidR="00000000" w:rsidRDefault="004B13C5">
      <w:pPr>
        <w:pStyle w:val="Footer"/>
        <w:tabs>
          <w:tab w:val="clear" w:pos="4153"/>
          <w:tab w:val="clear" w:pos="8306"/>
        </w:tabs>
        <w:jc w:val="center"/>
        <w:rPr>
          <w:rFonts w:ascii="Arial" w:hAnsi="Arial" w:cs="Arial"/>
          <w:b/>
          <w:bCs/>
          <w:sz w:val="32"/>
          <w:szCs w:val="32"/>
        </w:rPr>
      </w:pPr>
      <w:r>
        <w:rPr>
          <w:rFonts w:ascii="Arial" w:hAnsi="Arial" w:cs="Arial"/>
          <w:b/>
          <w:bCs/>
          <w:sz w:val="32"/>
          <w:szCs w:val="32"/>
        </w:rPr>
        <w:t>June 2004</w:t>
      </w: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pBdr>
          <w:bottom w:val="single" w:sz="4" w:space="1" w:color="auto"/>
        </w:pBdr>
        <w:tabs>
          <w:tab w:val="clear" w:pos="4153"/>
          <w:tab w:val="clear" w:pos="8306"/>
        </w:tabs>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ACKNOWLEDGEMENT</w:t>
      </w:r>
    </w:p>
    <w:p w:rsidR="00000000" w:rsidRDefault="004B13C5">
      <w:pPr>
        <w:pStyle w:val="Footer"/>
        <w:tabs>
          <w:tab w:val="clear" w:pos="4153"/>
          <w:tab w:val="clear" w:pos="8306"/>
        </w:tabs>
        <w:rPr>
          <w:rFonts w:ascii="Arial" w:hAnsi="Arial" w:cs="Arial"/>
          <w:b/>
          <w:bCs/>
          <w:sz w:val="28"/>
          <w:szCs w:val="28"/>
        </w:rPr>
      </w:pPr>
    </w:p>
    <w:p w:rsidR="00000000" w:rsidRDefault="004B13C5">
      <w:pPr>
        <w:pStyle w:val="Footer"/>
        <w:tabs>
          <w:tab w:val="clear" w:pos="4153"/>
          <w:tab w:val="clear" w:pos="8306"/>
        </w:tabs>
        <w:rPr>
          <w:rFonts w:ascii="Arial" w:hAnsi="Arial" w:cs="Arial"/>
        </w:rPr>
      </w:pPr>
    </w:p>
    <w:p w:rsidR="00000000" w:rsidRDefault="004B13C5">
      <w:pPr>
        <w:pStyle w:val="Footer"/>
        <w:tabs>
          <w:tab w:val="clear" w:pos="4153"/>
          <w:tab w:val="clear" w:pos="8306"/>
        </w:tabs>
        <w:rPr>
          <w:rFonts w:ascii="Arial" w:hAnsi="Arial" w:cs="Arial"/>
        </w:rPr>
      </w:pPr>
    </w:p>
    <w:p w:rsidR="00000000" w:rsidRDefault="004B13C5">
      <w:pPr>
        <w:pStyle w:val="Footer"/>
        <w:tabs>
          <w:tab w:val="clear" w:pos="4153"/>
          <w:tab w:val="clear" w:pos="8306"/>
        </w:tabs>
        <w:rPr>
          <w:rFonts w:ascii="Arial" w:hAnsi="Arial" w:cs="Arial"/>
        </w:rPr>
      </w:pPr>
    </w:p>
    <w:p w:rsidR="00000000" w:rsidRDefault="004B13C5">
      <w:pPr>
        <w:pStyle w:val="Footer"/>
        <w:tabs>
          <w:tab w:val="clear" w:pos="4153"/>
          <w:tab w:val="clear" w:pos="8306"/>
        </w:tabs>
        <w:rPr>
          <w:rFonts w:ascii="Arial" w:hAnsi="Arial" w:cs="Arial"/>
        </w:rPr>
      </w:pPr>
      <w:r>
        <w:rPr>
          <w:rFonts w:ascii="Arial" w:hAnsi="Arial" w:cs="Arial"/>
        </w:rPr>
        <w:t>I am grateful to Bòrd na Gàidhlig and to the Scottish Executive for giving me the opportunity to analyse the responses to the Consultation Paper. This has proved to</w:t>
      </w:r>
      <w:r>
        <w:rPr>
          <w:rFonts w:ascii="Arial" w:hAnsi="Arial" w:cs="Arial"/>
        </w:rPr>
        <w:t xml:space="preserve"> be a fascinating undertaking. I am particularly grateful to Allan Campbell and Michelle MacLeod of Bòrd na Gàidhlig and to Douglas Ansdell and Steven McGregor of the Scottish Executive Education Department for being readily available to help me on my way.</w:t>
      </w:r>
    </w:p>
    <w:p w:rsidR="00000000" w:rsidRDefault="004B13C5">
      <w:pPr>
        <w:pStyle w:val="Footer"/>
        <w:tabs>
          <w:tab w:val="clear" w:pos="4153"/>
          <w:tab w:val="clear" w:pos="8306"/>
        </w:tabs>
        <w:rPr>
          <w:rFonts w:ascii="Arial" w:hAnsi="Arial" w:cs="Arial"/>
        </w:rPr>
      </w:pPr>
    </w:p>
    <w:p w:rsidR="00000000" w:rsidRDefault="004B13C5">
      <w:pPr>
        <w:pStyle w:val="Footer"/>
        <w:tabs>
          <w:tab w:val="clear" w:pos="4153"/>
          <w:tab w:val="clear" w:pos="8306"/>
        </w:tabs>
        <w:rPr>
          <w:rFonts w:ascii="Arial" w:hAnsi="Arial" w:cs="Arial"/>
        </w:rPr>
      </w:pPr>
      <w:r>
        <w:rPr>
          <w:rFonts w:ascii="Arial" w:hAnsi="Arial" w:cs="Arial"/>
        </w:rPr>
        <w:t>I should also like to acknowledge the very strong support provided by Brian MacDonald, Catherine Ann MacNeil and Annette Kerr, my three colleagues at Leirsinn, the research centre at Sabhal Mòr Ostaig, Isle of Skye, and their two student assistants Elsie</w:t>
      </w:r>
      <w:r>
        <w:rPr>
          <w:rFonts w:ascii="Arial" w:hAnsi="Arial" w:cs="Arial"/>
        </w:rPr>
        <w:t xml:space="preserve"> MacLean and Charles Quinnell.  With great competence and equally great goodwill, the Leirsinn team undertook the substantial task of logging all of the data on to a computer, checking and cross-checking that the many different points made in the submissio</w:t>
      </w:r>
      <w:r>
        <w:rPr>
          <w:rFonts w:ascii="Arial" w:hAnsi="Arial" w:cs="Arial"/>
        </w:rPr>
        <w:t>ns were being correctly interpreted, and undertaking much of the analysis.</w:t>
      </w:r>
    </w:p>
    <w:p w:rsidR="00000000" w:rsidRDefault="004B13C5">
      <w:pPr>
        <w:pStyle w:val="Footer"/>
        <w:tabs>
          <w:tab w:val="clear" w:pos="4153"/>
          <w:tab w:val="clear" w:pos="8306"/>
        </w:tabs>
        <w:rPr>
          <w:rFonts w:ascii="Arial" w:hAnsi="Arial" w:cs="Arial"/>
        </w:rPr>
      </w:pPr>
    </w:p>
    <w:p w:rsidR="00000000" w:rsidRDefault="004B13C5">
      <w:pPr>
        <w:pStyle w:val="Footer"/>
        <w:tabs>
          <w:tab w:val="clear" w:pos="4153"/>
          <w:tab w:val="clear" w:pos="8306"/>
        </w:tabs>
        <w:rPr>
          <w:rFonts w:ascii="Arial" w:hAnsi="Arial" w:cs="Arial"/>
        </w:rPr>
      </w:pPr>
    </w:p>
    <w:p w:rsidR="00000000" w:rsidRDefault="004B13C5">
      <w:pPr>
        <w:pStyle w:val="Footer"/>
        <w:tabs>
          <w:tab w:val="clear" w:pos="4153"/>
          <w:tab w:val="clear" w:pos="8306"/>
        </w:tabs>
        <w:rPr>
          <w:rFonts w:ascii="Arial" w:hAnsi="Arial" w:cs="Arial"/>
          <w:i/>
          <w:iCs/>
        </w:rPr>
      </w:pPr>
      <w:r>
        <w:rPr>
          <w:rFonts w:ascii="Arial" w:hAnsi="Arial" w:cs="Arial"/>
          <w:i/>
          <w:iCs/>
        </w:rPr>
        <w:t>Professor Richard Johnstone</w:t>
      </w:r>
    </w:p>
    <w:p w:rsidR="00000000" w:rsidRDefault="004B13C5">
      <w:pPr>
        <w:pStyle w:val="Footer"/>
        <w:tabs>
          <w:tab w:val="clear" w:pos="4153"/>
          <w:tab w:val="clear" w:pos="8306"/>
        </w:tabs>
        <w:rPr>
          <w:rFonts w:ascii="Arial" w:hAnsi="Arial" w:cs="Arial"/>
          <w:b/>
          <w:bCs/>
        </w:rPr>
      </w:pPr>
      <w:r>
        <w:rPr>
          <w:rFonts w:ascii="Arial" w:hAnsi="Arial" w:cs="Arial"/>
          <w:i/>
          <w:iCs/>
        </w:rPr>
        <w:t>June 2004</w:t>
      </w:r>
    </w:p>
    <w:p w:rsidR="00000000" w:rsidRDefault="004B13C5">
      <w:pPr>
        <w:pStyle w:val="Footer"/>
        <w:pBdr>
          <w:bottom w:val="single" w:sz="4" w:space="1" w:color="auto"/>
        </w:pBdr>
        <w:tabs>
          <w:tab w:val="clear" w:pos="4153"/>
          <w:tab w:val="clear" w:pos="8306"/>
        </w:tabs>
        <w:rPr>
          <w:rFonts w:ascii="Arial" w:hAnsi="Arial" w:cs="Arial"/>
          <w:b/>
          <w:bCs/>
          <w:sz w:val="28"/>
          <w:szCs w:val="28"/>
        </w:rPr>
      </w:pPr>
      <w:r>
        <w:rPr>
          <w:rFonts w:ascii="Arial" w:hAnsi="Arial" w:cs="Arial"/>
        </w:rPr>
        <w:br w:type="page"/>
      </w:r>
      <w:r>
        <w:rPr>
          <w:rFonts w:ascii="Arial" w:hAnsi="Arial" w:cs="Arial"/>
          <w:b/>
          <w:bCs/>
          <w:sz w:val="28"/>
          <w:szCs w:val="28"/>
        </w:rPr>
        <w:lastRenderedPageBreak/>
        <w:t>CONTENTS</w:t>
      </w:r>
    </w:p>
    <w:p w:rsidR="00000000" w:rsidRDefault="004B13C5">
      <w:pPr>
        <w:rPr>
          <w:rFonts w:ascii="Arial" w:hAnsi="Arial" w:cs="Arial"/>
        </w:rPr>
      </w:pPr>
    </w:p>
    <w:p w:rsidR="00000000" w:rsidRDefault="004B13C5">
      <w:pPr>
        <w:rPr>
          <w:rFonts w:ascii="Arial" w:hAnsi="Arial" w:cs="Arial"/>
          <w:sz w:val="22"/>
          <w:szCs w:val="22"/>
        </w:rPr>
      </w:pPr>
    </w:p>
    <w:p w:rsidR="00000000" w:rsidRDefault="004B13C5">
      <w:pPr>
        <w:rPr>
          <w:rFonts w:ascii="Arial" w:hAnsi="Arial" w:cs="Arial"/>
          <w:sz w:val="22"/>
          <w:szCs w:val="22"/>
        </w:rPr>
      </w:pPr>
    </w:p>
    <w:p w:rsidR="00000000" w:rsidRDefault="004B13C5">
      <w:pPr>
        <w:rPr>
          <w:rFonts w:ascii="Arial" w:hAnsi="Arial" w:cs="Arial"/>
          <w:sz w:val="22"/>
          <w:szCs w:val="22"/>
        </w:rPr>
      </w:pPr>
    </w:p>
    <w:p w:rsidR="00000000" w:rsidRDefault="004B13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5994"/>
        <w:gridCol w:w="1651"/>
      </w:tblGrid>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1.</w:t>
            </w: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Introduction</w:t>
            </w:r>
          </w:p>
          <w:p w:rsidR="00000000" w:rsidRDefault="004B13C5">
            <w:pPr>
              <w:rPr>
                <w:rFonts w:ascii="Arial" w:hAnsi="Arial" w:cs="Arial"/>
                <w:sz w:val="22"/>
                <w:szCs w:val="22"/>
              </w:rPr>
            </w:pP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2.</w:t>
            </w: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Individual responses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3</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2.1 Card responses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3</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2.2 Standardised letter responses</w:t>
            </w: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4</w:t>
            </w:r>
          </w:p>
          <w:p w:rsidR="00000000" w:rsidRDefault="004B13C5">
            <w:pPr>
              <w:jc w:val="center"/>
              <w:rPr>
                <w:rFonts w:ascii="Arial" w:hAnsi="Arial" w:cs="Arial"/>
                <w:sz w:val="22"/>
                <w:szCs w:val="22"/>
              </w:rPr>
            </w:pP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2.3 Direct responses to the ten questions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5</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2.4 Open responses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10</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2.5 Geolinguistic variation</w:t>
            </w:r>
          </w:p>
          <w:p w:rsidR="00000000" w:rsidRDefault="004B13C5">
            <w:pPr>
              <w:rPr>
                <w:rFonts w:ascii="Arial" w:hAnsi="Arial" w:cs="Arial"/>
                <w:sz w:val="22"/>
                <w:szCs w:val="22"/>
              </w:rPr>
            </w:pP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11</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3.</w:t>
            </w: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Group responses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13</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3.1 Summary of public meetings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13</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3.2 Direct responses to the ten questions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14</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3.3 Open responses</w:t>
            </w: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19</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3.4 Open responses by type and location of group and by language of expression</w:t>
            </w:r>
          </w:p>
          <w:p w:rsidR="00000000" w:rsidRDefault="004B13C5">
            <w:pPr>
              <w:rPr>
                <w:rFonts w:ascii="Arial" w:hAnsi="Arial" w:cs="Arial"/>
                <w:sz w:val="22"/>
                <w:szCs w:val="22"/>
              </w:rPr>
            </w:pPr>
          </w:p>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21</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4.</w:t>
            </w: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Conclusions</w:t>
            </w: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24</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p>
        </w:tc>
        <w:tc>
          <w:tcPr>
            <w:tcW w:w="1651" w:type="dxa"/>
            <w:tcBorders>
              <w:top w:val="nil"/>
              <w:left w:val="nil"/>
              <w:bottom w:val="nil"/>
              <w:right w:val="nil"/>
            </w:tcBorders>
          </w:tcPr>
          <w:p w:rsidR="00000000" w:rsidRDefault="004B13C5">
            <w:pPr>
              <w:jc w:val="center"/>
              <w:rPr>
                <w:rFonts w:ascii="Arial" w:hAnsi="Arial" w:cs="Arial"/>
                <w:sz w:val="22"/>
                <w:szCs w:val="22"/>
              </w:rPr>
            </w:pPr>
          </w:p>
        </w:tc>
      </w:tr>
      <w:tr w:rsidR="00000000">
        <w:tblPrEx>
          <w:tblCellMar>
            <w:top w:w="0" w:type="dxa"/>
            <w:bottom w:w="0" w:type="dxa"/>
          </w:tblCellMar>
        </w:tblPrEx>
        <w:trPr>
          <w:cantSplit/>
        </w:trPr>
        <w:tc>
          <w:tcPr>
            <w:tcW w:w="6871" w:type="dxa"/>
            <w:gridSpan w:val="2"/>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Appendices</w:t>
            </w:r>
          </w:p>
        </w:tc>
        <w:tc>
          <w:tcPr>
            <w:tcW w:w="1651" w:type="dxa"/>
            <w:tcBorders>
              <w:top w:val="nil"/>
              <w:left w:val="nil"/>
              <w:bottom w:val="nil"/>
              <w:right w:val="nil"/>
            </w:tcBorders>
          </w:tcPr>
          <w:p w:rsidR="00000000" w:rsidRDefault="004B13C5">
            <w:pPr>
              <w:jc w:val="center"/>
              <w:rPr>
                <w:rFonts w:ascii="Arial" w:hAnsi="Arial" w:cs="Arial"/>
                <w:sz w:val="22"/>
                <w:szCs w:val="22"/>
              </w:rPr>
            </w:pP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Appendix 1</w:t>
            </w: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26</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pStyle w:val="Heading9"/>
              <w:ind w:left="720"/>
            </w:pPr>
            <w:r>
              <w:t>Comments accompanying the cards and letter-sets</w:t>
            </w:r>
          </w:p>
        </w:tc>
        <w:tc>
          <w:tcPr>
            <w:tcW w:w="1651" w:type="dxa"/>
            <w:tcBorders>
              <w:top w:val="nil"/>
              <w:left w:val="nil"/>
              <w:bottom w:val="nil"/>
              <w:right w:val="nil"/>
            </w:tcBorders>
          </w:tcPr>
          <w:p w:rsidR="00000000" w:rsidRDefault="004B13C5">
            <w:pPr>
              <w:jc w:val="center"/>
              <w:rPr>
                <w:rFonts w:ascii="Arial" w:hAnsi="Arial" w:cs="Arial"/>
                <w:sz w:val="22"/>
                <w:szCs w:val="22"/>
              </w:rPr>
            </w:pP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Appendix 2</w:t>
            </w: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29</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pStyle w:val="Heading9"/>
              <w:ind w:left="720"/>
            </w:pPr>
            <w:r>
              <w:t>Open-ended responses from individuals</w:t>
            </w:r>
          </w:p>
        </w:tc>
        <w:tc>
          <w:tcPr>
            <w:tcW w:w="1651" w:type="dxa"/>
            <w:tcBorders>
              <w:top w:val="nil"/>
              <w:left w:val="nil"/>
              <w:bottom w:val="nil"/>
              <w:right w:val="nil"/>
            </w:tcBorders>
          </w:tcPr>
          <w:p w:rsidR="00000000" w:rsidRDefault="004B13C5">
            <w:pPr>
              <w:jc w:val="center"/>
              <w:rPr>
                <w:rFonts w:ascii="Arial" w:hAnsi="Arial" w:cs="Arial"/>
                <w:sz w:val="22"/>
                <w:szCs w:val="22"/>
              </w:rPr>
            </w:pP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Appendix 3</w:t>
            </w: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31</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pStyle w:val="Heading9"/>
              <w:ind w:left="720"/>
            </w:pPr>
            <w:r>
              <w:t>Comments reported from the 17 public meetings</w:t>
            </w:r>
          </w:p>
        </w:tc>
        <w:tc>
          <w:tcPr>
            <w:tcW w:w="1651" w:type="dxa"/>
            <w:tcBorders>
              <w:top w:val="nil"/>
              <w:left w:val="nil"/>
              <w:bottom w:val="nil"/>
              <w:right w:val="nil"/>
            </w:tcBorders>
          </w:tcPr>
          <w:p w:rsidR="00000000" w:rsidRDefault="004B13C5">
            <w:pPr>
              <w:jc w:val="center"/>
              <w:rPr>
                <w:rFonts w:ascii="Arial" w:hAnsi="Arial" w:cs="Arial"/>
                <w:sz w:val="22"/>
                <w:szCs w:val="22"/>
              </w:rPr>
            </w:pP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rPr>
                <w:rFonts w:ascii="Arial" w:hAnsi="Arial" w:cs="Arial"/>
                <w:sz w:val="22"/>
                <w:szCs w:val="22"/>
              </w:rPr>
            </w:pPr>
            <w:r>
              <w:rPr>
                <w:rFonts w:ascii="Arial" w:hAnsi="Arial" w:cs="Arial"/>
                <w:sz w:val="22"/>
                <w:szCs w:val="22"/>
              </w:rPr>
              <w:t>Appendix 4</w:t>
            </w:r>
          </w:p>
        </w:tc>
        <w:tc>
          <w:tcPr>
            <w:tcW w:w="1651" w:type="dxa"/>
            <w:tcBorders>
              <w:top w:val="nil"/>
              <w:left w:val="nil"/>
              <w:bottom w:val="nil"/>
              <w:right w:val="nil"/>
            </w:tcBorders>
          </w:tcPr>
          <w:p w:rsidR="00000000" w:rsidRDefault="004B13C5">
            <w:pPr>
              <w:jc w:val="center"/>
              <w:rPr>
                <w:rFonts w:ascii="Arial" w:hAnsi="Arial" w:cs="Arial"/>
                <w:sz w:val="22"/>
                <w:szCs w:val="22"/>
              </w:rPr>
            </w:pPr>
            <w:r>
              <w:rPr>
                <w:rFonts w:ascii="Arial" w:hAnsi="Arial" w:cs="Arial"/>
                <w:sz w:val="22"/>
                <w:szCs w:val="22"/>
              </w:rPr>
              <w:t>33</w:t>
            </w:r>
          </w:p>
        </w:tc>
      </w:tr>
      <w:tr w:rsidR="00000000">
        <w:tblPrEx>
          <w:tblCellMar>
            <w:top w:w="0" w:type="dxa"/>
            <w:bottom w:w="0" w:type="dxa"/>
          </w:tblCellMar>
        </w:tblPrEx>
        <w:trPr>
          <w:cantSplit/>
        </w:trPr>
        <w:tc>
          <w:tcPr>
            <w:tcW w:w="877" w:type="dxa"/>
            <w:tcBorders>
              <w:top w:val="nil"/>
              <w:left w:val="nil"/>
              <w:bottom w:val="nil"/>
              <w:right w:val="nil"/>
            </w:tcBorders>
          </w:tcPr>
          <w:p w:rsidR="00000000" w:rsidRDefault="004B13C5">
            <w:pPr>
              <w:rPr>
                <w:rFonts w:ascii="Arial" w:hAnsi="Arial" w:cs="Arial"/>
                <w:sz w:val="22"/>
                <w:szCs w:val="22"/>
              </w:rPr>
            </w:pPr>
          </w:p>
        </w:tc>
        <w:tc>
          <w:tcPr>
            <w:tcW w:w="5994" w:type="dxa"/>
            <w:tcBorders>
              <w:top w:val="nil"/>
              <w:left w:val="nil"/>
              <w:bottom w:val="nil"/>
              <w:right w:val="nil"/>
            </w:tcBorders>
          </w:tcPr>
          <w:p w:rsidR="00000000" w:rsidRDefault="004B13C5">
            <w:pPr>
              <w:pStyle w:val="Heading9"/>
              <w:ind w:left="720"/>
            </w:pPr>
            <w:r>
              <w:t>Open-ended responses from groups</w:t>
            </w:r>
          </w:p>
        </w:tc>
        <w:tc>
          <w:tcPr>
            <w:tcW w:w="1651" w:type="dxa"/>
            <w:tcBorders>
              <w:top w:val="nil"/>
              <w:left w:val="nil"/>
              <w:bottom w:val="nil"/>
              <w:right w:val="nil"/>
            </w:tcBorders>
          </w:tcPr>
          <w:p w:rsidR="00000000" w:rsidRDefault="004B13C5">
            <w:pPr>
              <w:jc w:val="center"/>
              <w:rPr>
                <w:rFonts w:ascii="Arial" w:hAnsi="Arial" w:cs="Arial"/>
                <w:sz w:val="22"/>
                <w:szCs w:val="22"/>
              </w:rPr>
            </w:pPr>
          </w:p>
        </w:tc>
      </w:tr>
    </w:tbl>
    <w:p w:rsidR="00000000" w:rsidRDefault="004B13C5">
      <w:pPr>
        <w:rPr>
          <w:rFonts w:ascii="Arial" w:hAnsi="Arial" w:cs="Arial"/>
          <w:sz w:val="22"/>
          <w:szCs w:val="22"/>
        </w:rPr>
      </w:pPr>
    </w:p>
    <w:p w:rsidR="00000000" w:rsidRDefault="004B13C5">
      <w:r>
        <w:rPr>
          <w:rFonts w:ascii="Arial" w:hAnsi="Arial" w:cs="Arial"/>
          <w:sz w:val="22"/>
          <w:szCs w:val="22"/>
        </w:rPr>
        <w:br w:type="page"/>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B6"/>
    <w:rsid w:val="004B13C5"/>
    <w:rsid w:val="0069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32"/>
      <w:szCs w:val="32"/>
    </w:rPr>
  </w:style>
  <w:style w:type="paragraph" w:styleId="Heading9">
    <w:name w:val="heading 9"/>
    <w:basedOn w:val="Normal"/>
    <w:next w:val="Normal"/>
    <w:link w:val="Heading9Char"/>
    <w:uiPriority w:val="99"/>
    <w:qFormat/>
    <w:pPr>
      <w:keepNext/>
      <w:outlineLvl w:val="8"/>
    </w:pPr>
    <w:rPr>
      <w:rFonts w:ascii="Arial" w:hAnsi="Arial" w:cs="Arial"/>
      <w:i/>
      <w:i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32"/>
      <w:szCs w:val="32"/>
    </w:rPr>
  </w:style>
  <w:style w:type="paragraph" w:styleId="Heading9">
    <w:name w:val="heading 9"/>
    <w:basedOn w:val="Normal"/>
    <w:next w:val="Normal"/>
    <w:link w:val="Heading9Char"/>
    <w:uiPriority w:val="99"/>
    <w:qFormat/>
    <w:pPr>
      <w:keepNext/>
      <w:outlineLvl w:val="8"/>
    </w:pPr>
    <w:rPr>
      <w:rFonts w:ascii="Arial" w:hAnsi="Arial" w:cs="Arial"/>
      <w:i/>
      <w:i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Gaelic Language Bill</vt:lpstr>
    </vt:vector>
  </TitlesOfParts>
  <Company>University of Stirling</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Gaelic Language Bill</dc:title>
  <dc:creator>Richard Johnstone</dc:creator>
  <cp:lastModifiedBy>Hass</cp:lastModifiedBy>
  <cp:revision>2</cp:revision>
  <dcterms:created xsi:type="dcterms:W3CDTF">2015-02-27T14:36:00Z</dcterms:created>
  <dcterms:modified xsi:type="dcterms:W3CDTF">2015-02-27T14:36:00Z</dcterms:modified>
</cp:coreProperties>
</file>